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16A07" w14:textId="77777777" w:rsidR="000F6DF2" w:rsidRDefault="00E86485">
      <w:pPr>
        <w:pStyle w:val="Header"/>
        <w:rPr>
          <w:rFonts w:ascii="Calibri" w:hAnsi="Calibri" w:cs="Calibri"/>
          <w:b/>
          <w:bCs/>
          <w:color w:val="1F497D"/>
          <w:lang w:val="sr-Cyrl-CS"/>
        </w:rPr>
      </w:pPr>
      <w:r>
        <w:rPr>
          <w:rFonts w:ascii="Calibri" w:hAnsi="Calibri" w:cs="Calibri"/>
          <w:color w:val="1F497D"/>
          <w:lang w:val="sr-Latn-CS"/>
        </w:rPr>
        <w:t xml:space="preserve">                                                                                                        </w:t>
      </w:r>
    </w:p>
    <w:tbl>
      <w:tblPr>
        <w:tblW w:w="11624" w:type="dxa"/>
        <w:jc w:val="center"/>
        <w:tblLook w:val="04A0" w:firstRow="1" w:lastRow="0" w:firstColumn="1" w:lastColumn="0" w:noHBand="0" w:noVBand="1"/>
      </w:tblPr>
      <w:tblGrid>
        <w:gridCol w:w="5626"/>
        <w:gridCol w:w="1350"/>
        <w:gridCol w:w="237"/>
        <w:gridCol w:w="4411"/>
      </w:tblGrid>
      <w:tr w:rsidR="000F6DF2" w14:paraId="2FFC5982" w14:textId="77777777">
        <w:trPr>
          <w:trHeight w:val="80"/>
          <w:jc w:val="center"/>
        </w:trPr>
        <w:tc>
          <w:tcPr>
            <w:tcW w:w="5626" w:type="dxa"/>
          </w:tcPr>
          <w:p w14:paraId="3ECD647C" w14:textId="77777777" w:rsidR="000F6DF2" w:rsidRDefault="00E86485">
            <w:pPr>
              <w:ind w:left="-113"/>
              <w:rPr>
                <w:rFonts w:ascii="Calibri" w:hAnsi="Calibri"/>
                <w:color w:val="1F497D"/>
                <w:lang w:val="sr-Latn-RS" w:eastAsia="sr-Latn-RS"/>
              </w:rPr>
            </w:pPr>
            <w:r>
              <w:rPr>
                <w:rFonts w:ascii="Calibri" w:hAnsi="Calibri" w:cs="Calibri"/>
                <w:noProof/>
                <w:color w:val="1F497D"/>
                <w:lang w:val="sr-Latn-CS" w:eastAsia="sr-Latn-CS"/>
              </w:rPr>
              <w:drawing>
                <wp:inline distT="0" distB="0" distL="0" distR="0" wp14:anchorId="086BF761" wp14:editId="30FE07D3">
                  <wp:extent cx="1615440" cy="861060"/>
                  <wp:effectExtent l="0" t="0" r="3810" b="0"/>
                  <wp:docPr id="2" name="Picture 2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44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1F497D"/>
                <w:lang w:val="sr-Latn-CS" w:eastAsia="sr-Latn-CS"/>
              </w:rPr>
              <w:t xml:space="preserve">                          </w:t>
            </w:r>
          </w:p>
        </w:tc>
        <w:tc>
          <w:tcPr>
            <w:tcW w:w="5998" w:type="dxa"/>
            <w:gridSpan w:val="3"/>
          </w:tcPr>
          <w:p w14:paraId="6894CFFF" w14:textId="77777777" w:rsidR="000F6DF2" w:rsidRDefault="000F6DF2">
            <w:pPr>
              <w:jc w:val="right"/>
              <w:rPr>
                <w:rFonts w:ascii="Calibri" w:hAnsi="Calibri" w:cs="Calibri"/>
                <w:color w:val="1F497D"/>
                <w:lang w:val="sr-Latn-RS" w:eastAsia="sr-Latn-RS"/>
              </w:rPr>
            </w:pPr>
          </w:p>
        </w:tc>
      </w:tr>
      <w:tr w:rsidR="000F6DF2" w14:paraId="4904554F" w14:textId="77777777">
        <w:trPr>
          <w:trHeight w:val="1690"/>
          <w:jc w:val="center"/>
        </w:trPr>
        <w:tc>
          <w:tcPr>
            <w:tcW w:w="6976" w:type="dxa"/>
            <w:gridSpan w:val="2"/>
            <w:vMerge w:val="restart"/>
            <w:vAlign w:val="center"/>
          </w:tcPr>
          <w:p w14:paraId="7F028AF8" w14:textId="77777777" w:rsidR="000F6DF2" w:rsidRDefault="00E86485">
            <w:pPr>
              <w:ind w:left="-113"/>
              <w:jc w:val="both"/>
              <w:rPr>
                <w:rFonts w:ascii="Calibri" w:hAnsi="Calibri" w:cs="Arial"/>
                <w:color w:val="1F497D"/>
                <w:lang w:val="sr-Latn-CS" w:eastAsia="sr-Latn-CS"/>
              </w:rPr>
            </w:pPr>
            <w:r>
              <w:rPr>
                <w:rFonts w:ascii="Calibri" w:hAnsi="Calibri" w:cs="Calibri"/>
                <w:noProof/>
                <w:color w:val="1F497D"/>
                <w:lang w:val="sr-Latn-CS" w:eastAsia="sr-Latn-CS"/>
              </w:rPr>
              <w:drawing>
                <wp:inline distT="0" distB="0" distL="0" distR="0" wp14:anchorId="1C7EFD5A" wp14:editId="4ECA150D">
                  <wp:extent cx="4364355" cy="3342005"/>
                  <wp:effectExtent l="0" t="0" r="0" b="0"/>
                  <wp:docPr id="1" name="Picture 1" descr="New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New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6802" cy="3366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" w:type="dxa"/>
          </w:tcPr>
          <w:p w14:paraId="1F9A3585" w14:textId="77777777" w:rsidR="000F6DF2" w:rsidRDefault="000F6DF2">
            <w:pPr>
              <w:jc w:val="center"/>
              <w:rPr>
                <w:rFonts w:ascii="Calibri" w:hAnsi="Calibri" w:cs="Calibri"/>
                <w:b/>
                <w:bCs/>
                <w:color w:val="1F497D"/>
                <w:lang w:val="sr-Latn-RS" w:eastAsia="sr-Latn-RS"/>
              </w:rPr>
            </w:pPr>
          </w:p>
        </w:tc>
        <w:tc>
          <w:tcPr>
            <w:tcW w:w="4411" w:type="dxa"/>
            <w:vAlign w:val="center"/>
          </w:tcPr>
          <w:p w14:paraId="77FAD87B" w14:textId="77777777" w:rsidR="000044FE" w:rsidRDefault="000044FE" w:rsidP="000044FE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32"/>
                <w:szCs w:val="32"/>
              </w:rPr>
            </w:pPr>
          </w:p>
          <w:p w14:paraId="1AF1ADC1" w14:textId="0142BA89" w:rsidR="000044FE" w:rsidRPr="00FE0340" w:rsidRDefault="000044FE" w:rsidP="000044FE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32"/>
                <w:szCs w:val="32"/>
              </w:rPr>
            </w:pPr>
            <w:r w:rsidRPr="00FE0340">
              <w:rPr>
                <w:rFonts w:asciiTheme="minorHAnsi" w:hAnsiTheme="minorHAnsi" w:cstheme="minorHAnsi"/>
                <w:b/>
                <w:bCs/>
                <w:color w:val="FF0000"/>
                <w:sz w:val="32"/>
                <w:szCs w:val="32"/>
              </w:rPr>
              <w:t>PDV U GRAĐEVINARSTVU</w:t>
            </w:r>
          </w:p>
          <w:p w14:paraId="44A372E5" w14:textId="77777777" w:rsidR="000044FE" w:rsidRPr="00FE0340" w:rsidRDefault="000044FE" w:rsidP="000044FE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FE0340">
              <w:rPr>
                <w:rFonts w:asciiTheme="minorHAnsi" w:hAnsiTheme="minorHAnsi" w:cstheme="minorHAnsi"/>
                <w:b/>
                <w:bCs/>
                <w:color w:val="FF0000"/>
              </w:rPr>
              <w:t>NAJNOVIJE IZMENE I PRAKTIČNA PRIMENA</w:t>
            </w:r>
          </w:p>
          <w:p w14:paraId="46D2BAE3" w14:textId="16A01FD0" w:rsidR="003303DE" w:rsidRPr="007834D8" w:rsidRDefault="00C34570" w:rsidP="003303D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7834D8">
              <w:rPr>
                <w:rFonts w:asciiTheme="minorHAnsi" w:hAnsiTheme="minorHAnsi" w:cstheme="minorHAnsi"/>
                <w:color w:val="FF0000"/>
              </w:rPr>
              <w:t>Nova pravila od septembra 2026.</w:t>
            </w:r>
            <w:r w:rsidR="00935C82">
              <w:rPr>
                <w:rFonts w:asciiTheme="minorHAnsi" w:hAnsiTheme="minorHAnsi" w:cstheme="minorHAnsi"/>
                <w:color w:val="FF0000"/>
              </w:rPr>
              <w:t>godine</w:t>
            </w:r>
            <w:r w:rsidRPr="007834D8">
              <w:rPr>
                <w:rFonts w:asciiTheme="minorHAnsi" w:hAnsiTheme="minorHAnsi" w:cstheme="minorHAnsi"/>
                <w:color w:val="FF0000"/>
              </w:rPr>
              <w:t xml:space="preserve"> i priprema za promene od 1. januara 2027.</w:t>
            </w:r>
            <w:r w:rsidR="00935C82">
              <w:rPr>
                <w:rFonts w:asciiTheme="minorHAnsi" w:hAnsiTheme="minorHAnsi" w:cstheme="minorHAnsi"/>
                <w:color w:val="FF0000"/>
              </w:rPr>
              <w:t>godine</w:t>
            </w:r>
            <w:r w:rsidRPr="007834D8">
              <w:rPr>
                <w:rFonts w:asciiTheme="minorHAnsi" w:hAnsiTheme="minorHAnsi" w:cstheme="minorHAnsi"/>
                <w:color w:val="FF0000"/>
              </w:rPr>
              <w:t xml:space="preserve"> – preliminarna poreska prijava (PPP PDV)</w:t>
            </w:r>
          </w:p>
          <w:p w14:paraId="033FFE1D" w14:textId="4C87B556" w:rsidR="00C34570" w:rsidRPr="000044FE" w:rsidRDefault="00C34570" w:rsidP="003303DE">
            <w:pPr>
              <w:jc w:val="center"/>
              <w:rPr>
                <w:rFonts w:ascii="Calibri" w:hAnsi="Calibri" w:cs="Calibri"/>
                <w:b/>
                <w:color w:val="1F497D"/>
                <w:sz w:val="28"/>
                <w:szCs w:val="28"/>
                <w:lang w:val="sr-Latn-RS" w:eastAsia="sr-Latn-CS"/>
              </w:rPr>
            </w:pPr>
          </w:p>
        </w:tc>
      </w:tr>
      <w:tr w:rsidR="000F6DF2" w14:paraId="4DAB6C2D" w14:textId="77777777">
        <w:trPr>
          <w:trHeight w:val="2457"/>
          <w:jc w:val="center"/>
        </w:trPr>
        <w:tc>
          <w:tcPr>
            <w:tcW w:w="6976" w:type="dxa"/>
            <w:gridSpan w:val="2"/>
            <w:vMerge/>
          </w:tcPr>
          <w:p w14:paraId="46498913" w14:textId="77777777" w:rsidR="000F6DF2" w:rsidRDefault="000F6DF2">
            <w:pPr>
              <w:rPr>
                <w:rFonts w:ascii="Calibri" w:hAnsi="Calibri" w:cs="Calibri"/>
                <w:color w:val="1F497D"/>
                <w:lang w:val="sr-Latn-CS" w:eastAsia="sr-Latn-CS"/>
              </w:rPr>
            </w:pPr>
          </w:p>
        </w:tc>
        <w:tc>
          <w:tcPr>
            <w:tcW w:w="237" w:type="dxa"/>
          </w:tcPr>
          <w:p w14:paraId="0E1C726D" w14:textId="77777777" w:rsidR="000F6DF2" w:rsidRDefault="000F6DF2">
            <w:pPr>
              <w:jc w:val="center"/>
              <w:rPr>
                <w:rFonts w:ascii="Calibri" w:hAnsi="Calibri" w:cs="Calibri"/>
                <w:color w:val="1F497D"/>
                <w:lang w:val="sr-Latn-RS" w:eastAsia="sr-Latn-RS"/>
              </w:rPr>
            </w:pPr>
          </w:p>
        </w:tc>
        <w:tc>
          <w:tcPr>
            <w:tcW w:w="4411" w:type="dxa"/>
            <w:vAlign w:val="center"/>
          </w:tcPr>
          <w:p w14:paraId="745E6EE0" w14:textId="77777777" w:rsidR="000F6DF2" w:rsidRDefault="000F6DF2">
            <w:pPr>
              <w:jc w:val="center"/>
              <w:rPr>
                <w:rFonts w:ascii="Calibri" w:hAnsi="Calibri" w:cs="Calibri"/>
                <w:b/>
                <w:color w:val="2F5496" w:themeColor="accent1" w:themeShade="BF"/>
                <w:lang w:val="sr-Latn-RS" w:eastAsia="sr-Latn-RS"/>
              </w:rPr>
            </w:pPr>
          </w:p>
          <w:p w14:paraId="65D078D1" w14:textId="01CC0D18" w:rsidR="000F6DF2" w:rsidRPr="00100641" w:rsidRDefault="006F388D" w:rsidP="006F388D">
            <w:pPr>
              <w:jc w:val="center"/>
              <w:rPr>
                <w:rFonts w:ascii="Calibri" w:hAnsi="Calibri" w:cs="Calibri"/>
                <w:b/>
                <w:color w:val="EE0000"/>
                <w:lang w:val="sr-Latn-RS" w:eastAsia="sr-Latn-RS"/>
              </w:rPr>
            </w:pPr>
            <w:r>
              <w:rPr>
                <w:rFonts w:ascii="Calibri" w:hAnsi="Calibri" w:cs="Calibri"/>
                <w:b/>
                <w:color w:val="EE0000"/>
                <w:lang w:val="sr-Latn-RS" w:eastAsia="sr-Latn-RS"/>
              </w:rPr>
              <w:t>25</w:t>
            </w:r>
            <w:r w:rsidR="00E86485" w:rsidRPr="00100641">
              <w:rPr>
                <w:rFonts w:ascii="Calibri" w:hAnsi="Calibri" w:cs="Calibri"/>
                <w:b/>
                <w:color w:val="EE0000"/>
                <w:lang w:val="sr-Latn-RS" w:eastAsia="sr-Latn-RS"/>
              </w:rPr>
              <w:t xml:space="preserve">. </w:t>
            </w:r>
            <w:r>
              <w:rPr>
                <w:rFonts w:ascii="Calibri" w:hAnsi="Calibri" w:cs="Calibri"/>
                <w:b/>
                <w:color w:val="EE0000"/>
                <w:lang w:val="sr-Latn-RS" w:eastAsia="sr-Latn-RS"/>
              </w:rPr>
              <w:t>septembar</w:t>
            </w:r>
            <w:r w:rsidR="00E86485" w:rsidRPr="00100641">
              <w:rPr>
                <w:rFonts w:ascii="Calibri" w:hAnsi="Calibri" w:cs="Calibri"/>
                <w:b/>
                <w:color w:val="EE0000"/>
                <w:lang w:val="sr-Latn-RS" w:eastAsia="sr-Latn-RS"/>
              </w:rPr>
              <w:t xml:space="preserve"> 2026. godine</w:t>
            </w:r>
          </w:p>
          <w:p w14:paraId="09B7C411" w14:textId="77777777" w:rsidR="000F6DF2" w:rsidRPr="00100641" w:rsidRDefault="000F6DF2">
            <w:pPr>
              <w:jc w:val="center"/>
              <w:rPr>
                <w:rFonts w:ascii="Calibri" w:hAnsi="Calibri" w:cs="Calibri"/>
                <w:b/>
                <w:color w:val="EE0000"/>
                <w:lang w:val="sr-Latn-RS" w:eastAsia="sr-Latn-RS"/>
              </w:rPr>
            </w:pPr>
          </w:p>
          <w:p w14:paraId="69E9875B" w14:textId="51E0EB53" w:rsidR="000F6DF2" w:rsidRDefault="00E86485">
            <w:pPr>
              <w:jc w:val="center"/>
              <w:rPr>
                <w:rFonts w:ascii="Calibri" w:hAnsi="Calibri" w:cs="Calibri"/>
                <w:b/>
                <w:color w:val="2F5496" w:themeColor="accent1" w:themeShade="BF"/>
                <w:lang w:val="sr-Latn-RS" w:eastAsia="sr-Latn-RS"/>
              </w:rPr>
            </w:pPr>
            <w:r>
              <w:rPr>
                <w:rFonts w:ascii="Calibri" w:hAnsi="Calibri" w:cs="Calibri"/>
                <w:b/>
                <w:color w:val="2F5496" w:themeColor="accent1" w:themeShade="BF"/>
                <w:lang w:val="sr-Latn-RS" w:eastAsia="sr-Latn-RS"/>
              </w:rPr>
              <w:t xml:space="preserve">Vreme trajanja: 10.00 – 15.00 </w:t>
            </w:r>
            <w:r w:rsidR="00E23991">
              <w:rPr>
                <w:rFonts w:ascii="Calibri" w:hAnsi="Calibri" w:cs="Calibri"/>
                <w:b/>
                <w:color w:val="2F5496" w:themeColor="accent1" w:themeShade="BF"/>
                <w:lang w:val="sr-Latn-RS" w:eastAsia="sr-Latn-RS"/>
              </w:rPr>
              <w:t>časova</w:t>
            </w:r>
          </w:p>
          <w:p w14:paraId="3EFA9D54" w14:textId="77777777" w:rsidR="000F6DF2" w:rsidRDefault="000F6DF2">
            <w:pPr>
              <w:jc w:val="center"/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</w:pPr>
          </w:p>
          <w:p w14:paraId="2F726F3E" w14:textId="3F5A1327" w:rsidR="000F6DF2" w:rsidRDefault="006F388D">
            <w:pPr>
              <w:jc w:val="center"/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</w:pPr>
            <w:r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  <w:t>Resavska 13-15</w:t>
            </w:r>
            <w:r w:rsidR="00E86485"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  <w:t>, s</w:t>
            </w:r>
            <w:r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  <w:t>ala u prizemlju 3ab</w:t>
            </w:r>
          </w:p>
          <w:p w14:paraId="54225B30" w14:textId="77777777" w:rsidR="000F6DF2" w:rsidRDefault="00E86485">
            <w:pPr>
              <w:jc w:val="center"/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</w:pPr>
            <w:r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  <w:t xml:space="preserve"> </w:t>
            </w:r>
          </w:p>
          <w:p w14:paraId="3EFB6701" w14:textId="78516B42" w:rsidR="000F6DF2" w:rsidRDefault="00E86485" w:rsidP="00A35FF1">
            <w:pPr>
              <w:jc w:val="center"/>
              <w:rPr>
                <w:rFonts w:ascii="Calibri" w:hAnsi="Calibri" w:cs="Calibri"/>
                <w:b/>
                <w:color w:val="1F497D"/>
                <w:lang w:val="sr-Latn-RS" w:eastAsia="sr-Latn-RS"/>
              </w:rPr>
            </w:pPr>
            <w:r>
              <w:rPr>
                <w:rFonts w:ascii="Calibri" w:hAnsi="Calibri" w:cs="Calibri"/>
                <w:b/>
                <w:color w:val="2F5496" w:themeColor="accent1" w:themeShade="BF"/>
                <w:lang w:val="sr-Latn-CS"/>
              </w:rPr>
              <w:t>(Mogućnost praćenje putem vebinara)</w:t>
            </w:r>
          </w:p>
        </w:tc>
      </w:tr>
      <w:tr w:rsidR="000F6DF2" w14:paraId="3813B006" w14:textId="77777777">
        <w:trPr>
          <w:trHeight w:val="256"/>
          <w:jc w:val="center"/>
        </w:trPr>
        <w:tc>
          <w:tcPr>
            <w:tcW w:w="6976" w:type="dxa"/>
            <w:gridSpan w:val="2"/>
            <w:shd w:val="clear" w:color="auto" w:fill="1F497D"/>
          </w:tcPr>
          <w:p w14:paraId="4461D9E2" w14:textId="77777777" w:rsidR="000F6DF2" w:rsidRDefault="000F6DF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1F497D"/>
                <w:lang w:val="pt-BR"/>
              </w:rPr>
            </w:pPr>
          </w:p>
        </w:tc>
        <w:tc>
          <w:tcPr>
            <w:tcW w:w="237" w:type="dxa"/>
            <w:shd w:val="clear" w:color="auto" w:fill="1F497D"/>
          </w:tcPr>
          <w:p w14:paraId="78F07D47" w14:textId="77777777" w:rsidR="000F6DF2" w:rsidRDefault="000F6DF2">
            <w:pPr>
              <w:jc w:val="center"/>
              <w:rPr>
                <w:rFonts w:ascii="Calibri" w:hAnsi="Calibri" w:cs="Calibri"/>
                <w:b/>
                <w:color w:val="1F497D"/>
                <w:lang w:val="sr-Latn-CS"/>
              </w:rPr>
            </w:pPr>
          </w:p>
        </w:tc>
        <w:tc>
          <w:tcPr>
            <w:tcW w:w="4411" w:type="dxa"/>
            <w:shd w:val="clear" w:color="auto" w:fill="1F497D"/>
            <w:vAlign w:val="center"/>
          </w:tcPr>
          <w:p w14:paraId="3D030641" w14:textId="77777777" w:rsidR="000F6DF2" w:rsidRDefault="000F6DF2">
            <w:pPr>
              <w:jc w:val="center"/>
              <w:rPr>
                <w:rFonts w:ascii="Calibri" w:hAnsi="Calibri" w:cs="Calibri"/>
                <w:b/>
                <w:color w:val="1F497D"/>
                <w:lang w:val="sr-Latn-CS"/>
              </w:rPr>
            </w:pPr>
          </w:p>
        </w:tc>
      </w:tr>
      <w:tr w:rsidR="000F6DF2" w14:paraId="50FFCEA5" w14:textId="77777777" w:rsidTr="00486A51">
        <w:trPr>
          <w:trHeight w:val="2690"/>
          <w:jc w:val="center"/>
        </w:trPr>
        <w:tc>
          <w:tcPr>
            <w:tcW w:w="6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C76AD7" w14:textId="4899C46E" w:rsidR="004917BB" w:rsidRPr="004917BB" w:rsidRDefault="004917BB" w:rsidP="004917BB">
            <w:pPr>
              <w:shd w:val="clear" w:color="auto" w:fill="FFFFFF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  <w:lang w:val="sr-Latn-RS"/>
              </w:rPr>
            </w:pPr>
            <w:r w:rsidRPr="004917BB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  <w:lang w:val="sr-Latn-RS"/>
              </w:rPr>
              <w:t>Promene propisa u oblasti PDV-a, elektronskog fakturisanja i elektronskih otpremnica posebno su značajne za građevinski sektor, u kojem pravilno određivanje poreskog dužnika, trenutka nastanka poreske obaveze i prava na odbitak prethodnog PDV-a često zavisi od konkretne poslovne situacije.</w:t>
            </w:r>
          </w:p>
          <w:p w14:paraId="6654A9CC" w14:textId="725AA3FA" w:rsidR="000F6DF2" w:rsidRPr="004917BB" w:rsidRDefault="004917BB" w:rsidP="004917BB">
            <w:pPr>
              <w:shd w:val="clear" w:color="auto" w:fill="FFFFFF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  <w:r w:rsidRPr="004917BB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  <w:lang w:val="sr-Latn-RS"/>
              </w:rPr>
              <w:t xml:space="preserve">Seminar je namenjen praktičnoj primeni aktuelnih pravila u građevinarstvu, sa posebnim osvrtom na </w:t>
            </w:r>
            <w:r w:rsidRPr="004917BB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  <w:t>najnovije izmene propisa u 2026. godini, njihovu primenu u SEF-u i sistemu e-Otpremnica, kao i na promene u oblasti PDV evidencija i poreske prijave koje predstoje od 2027. godine.</w:t>
            </w:r>
          </w:p>
          <w:p w14:paraId="5902EC39" w14:textId="77777777" w:rsidR="000F6DF2" w:rsidRPr="006259AE" w:rsidRDefault="000F6DF2">
            <w:pPr>
              <w:shd w:val="clear" w:color="auto" w:fill="FFFFFF"/>
              <w:jc w:val="both"/>
              <w:rPr>
                <w:rFonts w:ascii="Calibri" w:hAnsi="Calibri" w:cs="Calibri"/>
                <w:b/>
                <w:color w:val="1F4E79" w:themeColor="accent5" w:themeShade="80"/>
                <w:sz w:val="22"/>
                <w:szCs w:val="22"/>
                <w:lang w:val="sr-Latn-RS"/>
              </w:rPr>
            </w:pPr>
          </w:p>
          <w:p w14:paraId="45372013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NA SEMINARU ĆEMO ODGOVORITI NA PITANJA:</w:t>
            </w:r>
          </w:p>
          <w:p w14:paraId="6ED64D58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Kako pravilno odrediti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poreskog dužnika kod prometa iz oblasti građevinarstva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?</w:t>
            </w:r>
          </w:p>
          <w:p w14:paraId="2E621E02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Kako evidentirati promet objekata, dobara i usluga iz oblasti građevinarstva u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SEF-u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?</w:t>
            </w:r>
          </w:p>
          <w:p w14:paraId="05260214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Kako pravilno evidentirati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prethodni PDV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kod nabavke objekata i građevinskih dobara i usluga?</w:t>
            </w:r>
          </w:p>
          <w:p w14:paraId="1E2A7A75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Kako postupati sa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internim računima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, njihovim rokovima i evidentiranjem?</w:t>
            </w:r>
          </w:p>
          <w:p w14:paraId="5EA88F07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Koje su aktuelne obaveze u vezi sa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elektronskim otpremnicama u građevinarstvu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?</w:t>
            </w:r>
          </w:p>
          <w:p w14:paraId="0383E60D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Kako postupati kod vraćanja dobara, smanjenja naknade, storniranja i izdavanja novog računa?</w:t>
            </w:r>
          </w:p>
          <w:p w14:paraId="761D206A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Šta donose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nova pravila u oblasti PDV prijave i evidencija od 2027. godine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?</w:t>
            </w:r>
          </w:p>
          <w:p w14:paraId="56717C57" w14:textId="77777777" w:rsidR="003303DE" w:rsidRPr="003303DE" w:rsidRDefault="003303DE" w:rsidP="003303DE">
            <w:pPr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Kako najnovija mišljenja Ministarstva finansija utiču na poslovanje izvođača, investitora i drugih učesnika u građevinarstvu?</w:t>
            </w:r>
          </w:p>
          <w:p w14:paraId="78ECBF6C" w14:textId="77777777" w:rsid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12D70AFF" w14:textId="3A9C13CE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TEME SEMINARA</w:t>
            </w:r>
            <w:r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:</w:t>
            </w:r>
          </w:p>
          <w:p w14:paraId="5ECD9122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1. NAJNOVIJE IZMENE PROPISA – ŠTA SE MENJA U 2026. I ŠTA NAS OČEKUJE OD 2027.</w:t>
            </w:r>
          </w:p>
          <w:p w14:paraId="0F459D8C" w14:textId="77777777" w:rsidR="003303DE" w:rsidRPr="003303DE" w:rsidRDefault="003303DE" w:rsidP="003303DE">
            <w:pPr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Najnovije izmene propisa iz oblasti PDV-a relevantne za građevinarstvo</w:t>
            </w:r>
          </w:p>
          <w:p w14:paraId="7CB9AF50" w14:textId="77777777" w:rsidR="003303DE" w:rsidRPr="003303DE" w:rsidRDefault="003303DE" w:rsidP="003303DE">
            <w:pPr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Praktične posledice novih pravila za poreske obveznike</w:t>
            </w:r>
          </w:p>
          <w:p w14:paraId="7A879DC0" w14:textId="77777777" w:rsidR="003303DE" w:rsidRPr="003303DE" w:rsidRDefault="003303DE" w:rsidP="003303DE">
            <w:pPr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lastRenderedPageBreak/>
              <w:t>Priprema za promene u PDV evidencijama i poreskoj prijavi od 2027. godine</w:t>
            </w:r>
          </w:p>
          <w:p w14:paraId="3FBBBB2C" w14:textId="77777777" w:rsidR="003303DE" w:rsidRPr="003303DE" w:rsidRDefault="003303DE" w:rsidP="003303DE">
            <w:pPr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Iskazivanje i ispravljanje podataka koji se odnose na prethodne poreske periode</w:t>
            </w:r>
          </w:p>
          <w:p w14:paraId="20085A88" w14:textId="77777777" w:rsidR="003303DE" w:rsidRDefault="003303DE" w:rsidP="003303DE">
            <w:pPr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Usklađivanje podataka iz poreskih evidencija, SEF-a i PDV prijave</w:t>
            </w:r>
          </w:p>
          <w:p w14:paraId="62C80312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7B85DB2F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2. PDV I SEF U GRAĐEVINARSTVU</w:t>
            </w:r>
          </w:p>
          <w:p w14:paraId="59369ABA" w14:textId="77777777" w:rsidR="003303DE" w:rsidRPr="003303DE" w:rsidRDefault="003303DE" w:rsidP="003303DE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Način evidentiranja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prometa objekata u SEF-u</w:t>
            </w:r>
          </w:p>
          <w:p w14:paraId="1EDAA6C4" w14:textId="77777777" w:rsidR="003303DE" w:rsidRPr="003303DE" w:rsidRDefault="003303DE" w:rsidP="003303DE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Način evidentiranja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prometa dobara i usluga iz oblasti građevinarstva u SEF-u</w:t>
            </w:r>
          </w:p>
          <w:p w14:paraId="453C74D6" w14:textId="77777777" w:rsidR="003303DE" w:rsidRPr="003303DE" w:rsidRDefault="003303DE" w:rsidP="003303DE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Način evidentiranja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prethodnog PDV-a u SEF-u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kod nabavke objekata i prometa dobara i usluga iz oblasti građevinarstva</w:t>
            </w:r>
          </w:p>
          <w:p w14:paraId="3B5B0218" w14:textId="77777777" w:rsidR="003303DE" w:rsidRPr="003303DE" w:rsidRDefault="003303DE" w:rsidP="003303DE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Praktičan rad na DEMO verziji Sistema elektronskih faktura</w:t>
            </w:r>
          </w:p>
          <w:p w14:paraId="2D6C3015" w14:textId="77777777" w:rsidR="003303DE" w:rsidRDefault="003303DE" w:rsidP="003303DE">
            <w:pPr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Postupanje sa neispravnim, odbijenim i storniranim elektronskim fakturama</w:t>
            </w:r>
          </w:p>
          <w:p w14:paraId="3662BF8C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2A7D558B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3. PORESKI DUŽNIK U GRAĐEVINARSTVU – ČLAN 10. ZAKONA O PDV</w:t>
            </w:r>
          </w:p>
          <w:p w14:paraId="25478D04" w14:textId="77777777" w:rsidR="003303DE" w:rsidRPr="003303DE" w:rsidRDefault="003303DE" w:rsidP="003303DE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Određivanje poreskog dužnika u skladu sa članom 10. stav 2. tačka 3. Zakona o PDV</w:t>
            </w:r>
          </w:p>
          <w:p w14:paraId="44F98BEC" w14:textId="77777777" w:rsidR="003303DE" w:rsidRPr="003303DE" w:rsidRDefault="003303DE" w:rsidP="003303DE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Klasifikacija delatnosti i primena Pravilnika o PDV</w:t>
            </w:r>
          </w:p>
          <w:p w14:paraId="3479C2CA" w14:textId="77777777" w:rsidR="003303DE" w:rsidRPr="003303DE" w:rsidRDefault="003303DE" w:rsidP="003303DE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Najčešće dileme u određivanju da li se konkretan promet smatra prometom iz oblasti građevinarstva</w:t>
            </w:r>
          </w:p>
          <w:p w14:paraId="3E3281FF" w14:textId="77777777" w:rsidR="003303DE" w:rsidRPr="003303DE" w:rsidRDefault="003303DE" w:rsidP="003303DE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Obaveze izvođača, podizvođača i investitora</w:t>
            </w:r>
          </w:p>
          <w:p w14:paraId="32B1D979" w14:textId="77777777" w:rsidR="003303DE" w:rsidRPr="003303DE" w:rsidRDefault="003303DE" w:rsidP="003303DE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Postupanje kada lice koje vrši promet dobara i usluga iz oblasti građevinarstva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iskaže PDV u internom računu iako za to nije postojala obaveza</w:t>
            </w:r>
          </w:p>
          <w:p w14:paraId="15EDB14A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6BF0B585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4. ELEKTRONSKI RAČUNI, INTERNI RAČUNI I KOREKCIJE PDV</w:t>
            </w:r>
          </w:p>
          <w:p w14:paraId="0C70A2DC" w14:textId="77777777" w:rsidR="003303DE" w:rsidRPr="003303DE" w:rsidRDefault="003303DE" w:rsidP="003303DE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Rokovi za izdavanje internog računa radi ostvarivanja prava na odbitak prethodnog poreza</w:t>
            </w:r>
          </w:p>
          <w:p w14:paraId="582488FE" w14:textId="77777777" w:rsidR="003303DE" w:rsidRPr="003303DE" w:rsidRDefault="003303DE" w:rsidP="003303DE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Postupanje u slučaju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vraćanja dobara i smanjenja naknade</w:t>
            </w:r>
          </w:p>
          <w:p w14:paraId="0CA86586" w14:textId="77777777" w:rsidR="003303DE" w:rsidRPr="003303DE" w:rsidRDefault="003303DE" w:rsidP="003303DE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Uslovi i rokovi za smanjenje poreske osnovice i PDV-a</w:t>
            </w:r>
          </w:p>
          <w:p w14:paraId="334B72B6" w14:textId="77777777" w:rsidR="003303DE" w:rsidRPr="003303DE" w:rsidRDefault="003303DE" w:rsidP="003303DE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Storniranje računa i izdavanje novog računa</w:t>
            </w:r>
          </w:p>
          <w:p w14:paraId="707C9053" w14:textId="77777777" w:rsidR="003303DE" w:rsidRPr="003303DE" w:rsidRDefault="003303DE" w:rsidP="003303DE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Ispravka grešaka koje se odnose na prethodne poreske periode</w:t>
            </w:r>
          </w:p>
          <w:p w14:paraId="75B9A2AE" w14:textId="77777777" w:rsidR="003303DE" w:rsidRDefault="003303DE" w:rsidP="003303DE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Određivanje poreske osnovice kada je ugovorena cena sa PDV-om</w:t>
            </w:r>
          </w:p>
          <w:p w14:paraId="40778E85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36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6DA2E804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5. e-OTPREMNICE U GRAĐEVINARSTVU</w:t>
            </w:r>
          </w:p>
          <w:p w14:paraId="1DABD692" w14:textId="77777777" w:rsidR="003303DE" w:rsidRP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Aktuelna primena Zakona o elektronskim otpremnicama</w:t>
            </w:r>
          </w:p>
          <w:p w14:paraId="64534EEB" w14:textId="77777777" w:rsidR="003303DE" w:rsidRP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Ko je obveznik sistema e-Otpremnica u 2026. godini?</w:t>
            </w:r>
          </w:p>
          <w:p w14:paraId="6B0769D5" w14:textId="77777777" w:rsidR="003303DE" w:rsidRP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Kada postoji obaveza izdavanja elektronske otpremnice u građevinarstvu?</w:t>
            </w:r>
          </w:p>
          <w:p w14:paraId="1673EFC4" w14:textId="77777777" w:rsidR="003303DE" w:rsidRP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Elektronska otpremnica koja prati kretanje dobara i veza sa izdavanjem elektronske fakture</w:t>
            </w:r>
          </w:p>
          <w:p w14:paraId="78C1EE84" w14:textId="77777777" w:rsidR="003303DE" w:rsidRP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Određivanje prava raspolaganja dobrima za potrebe izdavanja e-Otpremnice</w:t>
            </w:r>
          </w:p>
          <w:p w14:paraId="42E8469F" w14:textId="77777777" w:rsidR="003303DE" w:rsidRP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Datum prometa dobara za potrebe elektronskog fakturisanja</w:t>
            </w:r>
          </w:p>
          <w:p w14:paraId="63EA2796" w14:textId="14C81E8D" w:rsidR="003303DE" w:rsidRDefault="003303DE" w:rsidP="003303DE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Specifične situacije u građevinarstvu i praktične dileme u primeni </w:t>
            </w:r>
            <w:r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Sistema</w:t>
            </w:r>
          </w:p>
          <w:p w14:paraId="280C6E72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28FD9FED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6. UGOVORI U GRAĐEVINARSTVU – PDV TRETMAN POJEDINIH ODREDBI</w:t>
            </w:r>
          </w:p>
          <w:p w14:paraId="24ED194C" w14:textId="77777777" w:rsidR="003303DE" w:rsidRPr="003303DE" w:rsidRDefault="003303DE" w:rsidP="003303DE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Kapara i avans</w:t>
            </w:r>
          </w:p>
          <w:p w14:paraId="36F0360D" w14:textId="77777777" w:rsidR="003303DE" w:rsidRPr="003303DE" w:rsidRDefault="003303DE" w:rsidP="003303DE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Ugovorne kazne</w:t>
            </w:r>
          </w:p>
          <w:p w14:paraId="38566877" w14:textId="77777777" w:rsidR="003303DE" w:rsidRPr="003303DE" w:rsidRDefault="003303DE" w:rsidP="003303DE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Naknada štete</w:t>
            </w:r>
          </w:p>
          <w:p w14:paraId="65F26B9A" w14:textId="77777777" w:rsidR="003303DE" w:rsidRPr="003303DE" w:rsidRDefault="003303DE" w:rsidP="003303DE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Ugovori po principu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„ključ u ruke“</w:t>
            </w:r>
          </w:p>
          <w:p w14:paraId="2016F300" w14:textId="77777777" w:rsidR="003303DE" w:rsidRDefault="003303DE" w:rsidP="003303DE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Druge specifične ugovorne situacije i njihov PDV tretman</w:t>
            </w:r>
          </w:p>
          <w:p w14:paraId="6DE72E6B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2B750ABD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7. NEPOKRETNOSTI, OPREMA I PRETHODNI PDV</w:t>
            </w:r>
          </w:p>
          <w:p w14:paraId="4429AFEE" w14:textId="77777777" w:rsidR="003303DE" w:rsidRPr="003303DE" w:rsidRDefault="003303DE" w:rsidP="003303DE">
            <w:pPr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Ispravka odbitka prethodnog poreza za opremu i objekte za vršenje delatnosti</w:t>
            </w:r>
          </w:p>
          <w:p w14:paraId="0E4F0AF1" w14:textId="77777777" w:rsidR="003303DE" w:rsidRPr="003303DE" w:rsidRDefault="003303DE" w:rsidP="003303DE">
            <w:pPr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Naknadno sticanje prava na odbitak prethodnog poreza za opremu i objekte</w:t>
            </w:r>
          </w:p>
          <w:p w14:paraId="09636BFD" w14:textId="77777777" w:rsidR="003303DE" w:rsidRPr="003303DE" w:rsidRDefault="003303DE" w:rsidP="003303DE">
            <w:pPr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lastRenderedPageBreak/>
              <w:t>Poreski aspekt prodaje stana od strane privrednog društva osnivaču – fizičkom licu po ceni nižoj od tržišne</w:t>
            </w:r>
          </w:p>
          <w:p w14:paraId="4632715F" w14:textId="77777777" w:rsidR="003303DE" w:rsidRDefault="003303DE" w:rsidP="003303DE">
            <w:pPr>
              <w:numPr>
                <w:ilvl w:val="0"/>
                <w:numId w:val="15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Postupanje Poreske uprave prilikom kontrole</w:t>
            </w:r>
          </w:p>
          <w:p w14:paraId="0E11C627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14:paraId="183426A6" w14:textId="77777777" w:rsidR="003303DE" w:rsidRP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8. NAJNOVIJA MIŠLJENJA I PRAKSA MINISTARSTVA FINANSIJA</w:t>
            </w:r>
          </w:p>
          <w:p w14:paraId="23BB7FAE" w14:textId="77777777" w:rsidR="003303DE" w:rsidRDefault="003303DE" w:rsidP="003303D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Poseban osvrt biće posvećen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najnovijim mišljenjima Ministarstva finansija</w:t>
            </w: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koja se odnose na poreske obveznike koji obavljaju delatnost građevinarstva, kao i na naručioce i investitore dobara i usluga iz oblasti građevinarstva.</w:t>
            </w:r>
          </w:p>
          <w:p w14:paraId="47FDA424" w14:textId="6BEEBCF1" w:rsidR="000F6DF2" w:rsidRPr="006259AE" w:rsidRDefault="000F6DF2" w:rsidP="00486A5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pt-BR"/>
              </w:rPr>
            </w:pPr>
          </w:p>
        </w:tc>
        <w:tc>
          <w:tcPr>
            <w:tcW w:w="237" w:type="dxa"/>
            <w:tcBorders>
              <w:top w:val="single" w:sz="4" w:space="0" w:color="auto"/>
              <w:bottom w:val="single" w:sz="4" w:space="0" w:color="auto"/>
              <w:right w:val="single" w:sz="4" w:space="0" w:color="1F497D"/>
            </w:tcBorders>
          </w:tcPr>
          <w:p w14:paraId="688EC654" w14:textId="77777777" w:rsidR="000F6DF2" w:rsidRDefault="00E86485">
            <w:pPr>
              <w:jc w:val="center"/>
              <w:rPr>
                <w:rFonts w:ascii="Calibri" w:hAnsi="Calibri" w:cs="Calibri"/>
                <w:b/>
                <w:color w:val="1F497D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  <w:szCs w:val="22"/>
                <w:lang w:val="sr-Latn-CS"/>
              </w:rPr>
              <w:lastRenderedPageBreak/>
              <w:br/>
            </w:r>
            <w:r>
              <w:rPr>
                <w:rFonts w:ascii="Calibri" w:hAnsi="Calibri" w:cs="Calibri"/>
                <w:b/>
                <w:color w:val="1F497D"/>
                <w:sz w:val="22"/>
                <w:szCs w:val="22"/>
                <w:lang w:val="sr-Latn-CS"/>
              </w:rPr>
              <w:br/>
            </w:r>
            <w:r>
              <w:rPr>
                <w:rFonts w:ascii="Calibri" w:hAnsi="Calibri" w:cs="Calibri"/>
                <w:b/>
                <w:color w:val="1F497D"/>
                <w:sz w:val="22"/>
                <w:szCs w:val="22"/>
                <w:lang w:val="sr-Latn-CS"/>
              </w:rPr>
              <w:br/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1F497D"/>
              <w:bottom w:val="single" w:sz="4" w:space="0" w:color="auto"/>
              <w:right w:val="single" w:sz="4" w:space="0" w:color="auto"/>
            </w:tcBorders>
            <w:vAlign w:val="center"/>
          </w:tcPr>
          <w:p w14:paraId="485B68C5" w14:textId="13D6C6CD" w:rsidR="000F6DF2" w:rsidRDefault="00E86485">
            <w:pPr>
              <w:jc w:val="center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>PREDAVAČ:</w:t>
            </w:r>
          </w:p>
          <w:p w14:paraId="75CF28C0" w14:textId="77777777" w:rsidR="000F6DF2" w:rsidRDefault="000F6DF2">
            <w:pPr>
              <w:ind w:left="431" w:hanging="579"/>
              <w:rPr>
                <w:rFonts w:ascii="Calibri" w:hAnsi="Calibri" w:cs="Calibri"/>
                <w:b/>
                <w:bCs/>
                <w:color w:val="1F497D"/>
                <w:sz w:val="22"/>
                <w:szCs w:val="22"/>
                <w:lang w:val="sr-Latn-CS"/>
              </w:rPr>
            </w:pPr>
          </w:p>
          <w:p w14:paraId="275B5021" w14:textId="77777777" w:rsidR="000F6DF2" w:rsidRDefault="00E86485">
            <w:pPr>
              <w:ind w:left="5" w:hanging="153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/>
                <w:bCs/>
                <w:color w:val="1F497D"/>
                <w:sz w:val="22"/>
                <w:szCs w:val="22"/>
                <w:lang w:val="sr-Latn-CS"/>
              </w:rPr>
              <w:t xml:space="preserve">   </w:t>
            </w:r>
            <w:r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Snežana Matejić, </w:t>
            </w: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poreski i finansijski savetnik, sertifikovani fore</w:t>
            </w: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RS"/>
              </w:rPr>
              <w:t>n</w:t>
            </w: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zičar</w:t>
            </w:r>
            <w:r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                    </w:t>
            </w:r>
          </w:p>
          <w:p w14:paraId="751DB78F" w14:textId="77777777" w:rsidR="000F6DF2" w:rsidRDefault="000F6DF2">
            <w:pPr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1017E449" w14:textId="77777777" w:rsidR="000F6DF2" w:rsidRDefault="00E86485">
            <w:pPr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Radno iskustvo: </w:t>
            </w:r>
          </w:p>
          <w:p w14:paraId="7F9D7764" w14:textId="77777777" w:rsidR="000F6DF2" w:rsidRDefault="00E86485">
            <w:pPr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Poreska uprava:</w:t>
            </w:r>
          </w:p>
          <w:p w14:paraId="56FA4458" w14:textId="77777777" w:rsidR="000F6DF2" w:rsidRDefault="00E86485">
            <w:pPr>
              <w:ind w:left="-89"/>
              <w:jc w:val="both"/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  -direktor Filijale Pančevo</w:t>
            </w:r>
          </w:p>
          <w:p w14:paraId="5A1CB81D" w14:textId="77777777" w:rsidR="000F6DF2" w:rsidRDefault="00E86485">
            <w:pPr>
              <w:ind w:left="-89"/>
              <w:jc w:val="both"/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  -poreski inspektor</w:t>
            </w:r>
          </w:p>
          <w:p w14:paraId="1AD009B4" w14:textId="77777777" w:rsidR="000F6DF2" w:rsidRDefault="00E86485">
            <w:pPr>
              <w:jc w:val="both"/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>-Javno preduzeće „Stara planina“ -</w:t>
            </w:r>
          </w:p>
          <w:p w14:paraId="3A10F7B6" w14:textId="77777777" w:rsidR="000F6DF2" w:rsidRDefault="00E86485">
            <w:pPr>
              <w:ind w:left="-89"/>
              <w:jc w:val="both"/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Cs/>
                <w:color w:val="2F5496" w:themeColor="accent1" w:themeShade="BF"/>
                <w:sz w:val="22"/>
                <w:szCs w:val="22"/>
                <w:lang w:val="sr-Latn-CS"/>
              </w:rPr>
              <w:t xml:space="preserve">  direktor opših i finansijskih poslova</w:t>
            </w:r>
          </w:p>
          <w:p w14:paraId="37FBD93C" w14:textId="77777777" w:rsidR="000F6DF2" w:rsidRDefault="000F6DF2">
            <w:pPr>
              <w:pStyle w:val="ListParagraph"/>
              <w:ind w:hanging="809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3FBC3627" w14:textId="77777777" w:rsidR="00486A51" w:rsidRPr="003303DE" w:rsidRDefault="00486A51" w:rsidP="00486A5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KOME JE SEMINAR NAMENJEN?</w:t>
            </w:r>
          </w:p>
          <w:p w14:paraId="32765CE5" w14:textId="77777777" w:rsidR="00486A51" w:rsidRPr="003303DE" w:rsidRDefault="00486A51" w:rsidP="00486A5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Seminar je namenjen:</w:t>
            </w:r>
          </w:p>
          <w:p w14:paraId="01D69829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vlasnicima i direktorima građevinskih kompanija;</w:t>
            </w:r>
          </w:p>
          <w:p w14:paraId="2097FDA4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investitorima i izvođačima radova;</w:t>
            </w:r>
          </w:p>
          <w:p w14:paraId="01EA3E85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finansijskim direktorima i zaposlenima u finansijama;</w:t>
            </w:r>
          </w:p>
          <w:p w14:paraId="126D38CE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računovođama i knjigovođama;</w:t>
            </w:r>
          </w:p>
          <w:p w14:paraId="0328EB11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poreskim savetnicima;</w:t>
            </w:r>
          </w:p>
          <w:p w14:paraId="53CEA671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pravnicima i advokatima;</w:t>
            </w:r>
          </w:p>
          <w:p w14:paraId="39D430E5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zaposlenima odgovornim za PDV, SEF i elektronske otpremnice;</w:t>
            </w:r>
          </w:p>
          <w:p w14:paraId="1C6484A1" w14:textId="77777777" w:rsidR="00486A51" w:rsidRPr="003303DE" w:rsidRDefault="00486A51" w:rsidP="00486A51">
            <w:pPr>
              <w:numPr>
                <w:ilvl w:val="0"/>
                <w:numId w:val="17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svim licima koja učestvuju u fakturisanju, prijemu i kontroli dokumentacije za dobra i usluge iz oblasti građevinarstva.</w:t>
            </w:r>
          </w:p>
          <w:p w14:paraId="4E730C13" w14:textId="77777777" w:rsidR="003D79DA" w:rsidRDefault="003D79DA" w:rsidP="00486A51">
            <w:pPr>
              <w:jc w:val="both"/>
              <w:rPr>
                <w:rFonts w:asciiTheme="minorHAnsi" w:hAnsiTheme="minorHAnsi" w:cstheme="minorHAnsi"/>
                <w:bCs/>
                <w:color w:val="002060"/>
                <w:sz w:val="22"/>
                <w:szCs w:val="22"/>
                <w:lang w:val="sr-Latn-RS"/>
              </w:rPr>
            </w:pPr>
          </w:p>
          <w:p w14:paraId="6E0180D8" w14:textId="77777777" w:rsidR="00486A51" w:rsidRDefault="00486A51" w:rsidP="00486A51">
            <w:pPr>
              <w:jc w:val="both"/>
              <w:rPr>
                <w:rFonts w:asciiTheme="minorHAnsi" w:hAnsiTheme="minorHAnsi" w:cstheme="minorHAnsi"/>
                <w:bCs/>
                <w:color w:val="002060"/>
                <w:sz w:val="22"/>
                <w:szCs w:val="22"/>
                <w:lang w:val="sr-Latn-RS"/>
              </w:rPr>
            </w:pPr>
          </w:p>
          <w:p w14:paraId="2FFB8CFA" w14:textId="77777777" w:rsidR="00486A51" w:rsidRDefault="00486A51" w:rsidP="00486A51">
            <w:pPr>
              <w:jc w:val="both"/>
              <w:rPr>
                <w:rFonts w:asciiTheme="minorHAnsi" w:hAnsiTheme="minorHAnsi" w:cstheme="minorHAnsi"/>
                <w:bCs/>
                <w:color w:val="002060"/>
                <w:sz w:val="22"/>
                <w:szCs w:val="22"/>
                <w:lang w:val="sr-Latn-RS"/>
              </w:rPr>
            </w:pPr>
          </w:p>
          <w:p w14:paraId="47CEA7BC" w14:textId="77777777" w:rsidR="00486A51" w:rsidRDefault="00486A51" w:rsidP="00486A51">
            <w:pPr>
              <w:jc w:val="both"/>
              <w:rPr>
                <w:rFonts w:asciiTheme="minorHAnsi" w:hAnsiTheme="minorHAnsi" w:cstheme="minorHAnsi"/>
                <w:bCs/>
                <w:color w:val="002060"/>
                <w:sz w:val="22"/>
                <w:szCs w:val="22"/>
                <w:lang w:val="sr-Latn-RS"/>
              </w:rPr>
            </w:pPr>
          </w:p>
          <w:p w14:paraId="1C077647" w14:textId="77777777" w:rsidR="00486A51" w:rsidRDefault="00486A51" w:rsidP="00486A51">
            <w:pPr>
              <w:jc w:val="both"/>
              <w:rPr>
                <w:rFonts w:asciiTheme="minorHAnsi" w:hAnsiTheme="minorHAnsi" w:cstheme="minorHAnsi"/>
                <w:bCs/>
                <w:color w:val="002060"/>
                <w:sz w:val="22"/>
                <w:szCs w:val="22"/>
                <w:lang w:val="sr-Latn-RS"/>
              </w:rPr>
            </w:pPr>
          </w:p>
          <w:p w14:paraId="7223D148" w14:textId="77777777" w:rsidR="00693788" w:rsidRDefault="00693788">
            <w:pPr>
              <w:pStyle w:val="ListParagraph"/>
              <w:ind w:hanging="809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5B8C3472" w14:textId="02A1314C" w:rsidR="00486A51" w:rsidRPr="003303DE" w:rsidRDefault="00486A51" w:rsidP="00486A5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CILJ SEMINARA</w:t>
            </w:r>
          </w:p>
          <w:p w14:paraId="2CC4D461" w14:textId="77777777" w:rsidR="00486A51" w:rsidRPr="003303DE" w:rsidRDefault="00486A51" w:rsidP="00486A5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Cilj seminara je da polaznici na praktičnim primerima ovladaju pravilima PDV-a koja su specifična za građevinarstvo i osposobe se da pravilno:</w:t>
            </w:r>
          </w:p>
          <w:p w14:paraId="16145459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odrede poreskog dužnika za izvršeni promet;</w:t>
            </w:r>
          </w:p>
          <w:p w14:paraId="24F49C45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izdaju elektronsku fakturu i interni račun;</w:t>
            </w:r>
          </w:p>
          <w:p w14:paraId="571BD6E9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utvrde pravo na odbitak prethodnog PDV-a;</w:t>
            </w:r>
          </w:p>
          <w:p w14:paraId="62108C4C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evidentiraju promet i prethodni PDV u SEF-u;</w:t>
            </w:r>
          </w:p>
          <w:p w14:paraId="2FE32FC7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iskažu podatke u POPDV i PDV prijavi;</w:t>
            </w:r>
          </w:p>
          <w:p w14:paraId="39ACBBE9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postupaju u slučaju korekcija, storniranja i naknadnih promena;</w:t>
            </w:r>
          </w:p>
          <w:p w14:paraId="32B1B296" w14:textId="77777777" w:rsidR="00486A51" w:rsidRPr="003303DE" w:rsidRDefault="00486A51" w:rsidP="00486A51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primene pravila sistema e-Otpremnica u poslovanju.</w:t>
            </w:r>
          </w:p>
          <w:p w14:paraId="661CEF45" w14:textId="77777777" w:rsidR="00486A51" w:rsidRPr="003303DE" w:rsidRDefault="00486A51" w:rsidP="00486A5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3303DE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Posebna pažnja biće posvećena </w:t>
            </w:r>
            <w:r w:rsidRPr="003303DE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usklađivanju poreskih evidencija i podataka u SEF-u, kao i pripremi za nova pravila koja će se primenjivati od 2027. godine.</w:t>
            </w:r>
          </w:p>
          <w:p w14:paraId="61170D75" w14:textId="7F140E8B" w:rsidR="00693788" w:rsidRDefault="00693788" w:rsidP="00486A51">
            <w:pPr>
              <w:pStyle w:val="ListParagraph"/>
              <w:ind w:hanging="809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6F723650" w14:textId="77777777" w:rsidR="00693788" w:rsidRDefault="00693788">
            <w:pPr>
              <w:pStyle w:val="ListParagraph"/>
              <w:ind w:hanging="809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580EBD1E" w14:textId="77777777" w:rsidR="00486A51" w:rsidRPr="00D038EA" w:rsidRDefault="00486A51" w:rsidP="00D038EA">
            <w:pPr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22652254" w14:textId="77777777" w:rsidR="003303DE" w:rsidRDefault="003303DE">
            <w:pPr>
              <w:pStyle w:val="ListParagraph"/>
              <w:ind w:hanging="809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429FCFC4" w14:textId="77777777" w:rsidR="00693788" w:rsidRDefault="00693788">
            <w:pPr>
              <w:pStyle w:val="ListParagraph"/>
              <w:ind w:hanging="809"/>
              <w:jc w:val="both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  <w:lang w:val="sr-Latn-RS"/>
              </w:rPr>
            </w:pPr>
          </w:p>
          <w:p w14:paraId="57756879" w14:textId="77777777" w:rsidR="000F6DF2" w:rsidRDefault="00E86485">
            <w:pPr>
              <w:pStyle w:val="ListParagraph"/>
              <w:spacing w:line="276" w:lineRule="auto"/>
              <w:ind w:left="0"/>
              <w:jc w:val="center"/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="Calibri" w:hAnsi="Calibri"/>
                <w:b/>
                <w:color w:val="2F5496" w:themeColor="accent1" w:themeShade="BF"/>
                <w:sz w:val="22"/>
                <w:szCs w:val="22"/>
                <w:lang w:val="sr-Latn-CS"/>
              </w:rPr>
              <w:t>Način rada:</w:t>
            </w:r>
          </w:p>
          <w:p w14:paraId="4E35C8E4" w14:textId="77777777" w:rsidR="000F6DF2" w:rsidRDefault="000F6DF2">
            <w:pPr>
              <w:pStyle w:val="ListParagraph"/>
              <w:spacing w:line="276" w:lineRule="auto"/>
              <w:ind w:left="0"/>
              <w:jc w:val="center"/>
              <w:rPr>
                <w:rFonts w:ascii="Calibri" w:hAnsi="Calibri"/>
                <w:b/>
                <w:bCs/>
                <w:color w:val="2F5496" w:themeColor="accent1" w:themeShade="BF"/>
                <w:sz w:val="18"/>
                <w:szCs w:val="18"/>
                <w:lang w:val="sr-Latn-RS"/>
              </w:rPr>
            </w:pPr>
          </w:p>
          <w:p w14:paraId="6978B7DC" w14:textId="77777777" w:rsidR="0013586B" w:rsidRPr="0013586B" w:rsidRDefault="0013586B" w:rsidP="0013586B">
            <w:pPr>
              <w:pStyle w:val="ListParagraph"/>
              <w:spacing w:line="276" w:lineRule="auto"/>
              <w:jc w:val="center"/>
              <w:rPr>
                <w:rFonts w:ascii="Calibri" w:hAnsi="Calibri"/>
                <w:b/>
                <w:bCs/>
                <w:color w:val="FF0000"/>
                <w:lang w:val="sr-Latn-RS"/>
              </w:rPr>
            </w:pPr>
            <w:r w:rsidRPr="0013586B">
              <w:rPr>
                <w:rFonts w:ascii="Calibri" w:hAnsi="Calibri"/>
                <w:b/>
                <w:bCs/>
                <w:color w:val="FF0000"/>
                <w:lang w:val="sr-Latn-RS"/>
              </w:rPr>
              <w:t>Interaktivan rad predavača i polaznika</w:t>
            </w:r>
          </w:p>
          <w:p w14:paraId="7A309EF2" w14:textId="57327299" w:rsidR="0013586B" w:rsidRPr="0013586B" w:rsidRDefault="0013586B" w:rsidP="0013586B">
            <w:pPr>
              <w:pStyle w:val="ListParagraph"/>
              <w:spacing w:line="276" w:lineRule="auto"/>
              <w:ind w:left="0"/>
              <w:jc w:val="center"/>
              <w:rPr>
                <w:rFonts w:ascii="Calibri" w:hAnsi="Calibri"/>
                <w:color w:val="FF0000"/>
                <w:lang w:val="sr-Latn-RS"/>
              </w:rPr>
            </w:pPr>
            <w:r w:rsidRPr="0013586B">
              <w:rPr>
                <w:rFonts w:ascii="Calibri" w:hAnsi="Calibri"/>
                <w:color w:val="FF0000"/>
                <w:lang w:val="sr-Latn-RS"/>
              </w:rPr>
              <w:t xml:space="preserve">Teorijska pravila biće objašnjena kroz </w:t>
            </w:r>
            <w:r w:rsidRPr="0013586B">
              <w:rPr>
                <w:rFonts w:ascii="Calibri" w:hAnsi="Calibri"/>
                <w:b/>
                <w:bCs/>
                <w:color w:val="FF0000"/>
                <w:lang w:val="sr-Latn-RS"/>
              </w:rPr>
              <w:t>konkretne primere iz prakse</w:t>
            </w:r>
            <w:r w:rsidRPr="0013586B">
              <w:rPr>
                <w:rFonts w:ascii="Calibri" w:hAnsi="Calibri"/>
                <w:color w:val="FF0000"/>
                <w:lang w:val="sr-Latn-RS"/>
              </w:rPr>
              <w:t>, uz praktičan prikaz evidentiranja</w:t>
            </w:r>
            <w:r w:rsidRPr="0013586B">
              <w:rPr>
                <w:rFonts w:ascii="Calibri" w:hAnsi="Calibri"/>
                <w:b/>
                <w:bCs/>
                <w:color w:val="FF0000"/>
                <w:lang w:val="sr-Latn-RS"/>
              </w:rPr>
              <w:t xml:space="preserve"> </w:t>
            </w:r>
            <w:r w:rsidRPr="0013586B">
              <w:rPr>
                <w:rFonts w:ascii="Calibri" w:hAnsi="Calibri"/>
                <w:color w:val="FF0000"/>
                <w:lang w:val="sr-Latn-RS"/>
              </w:rPr>
              <w:t>u Sistemu elektronskih faktura.</w:t>
            </w:r>
          </w:p>
          <w:p w14:paraId="16B5FE3D" w14:textId="77777777" w:rsidR="0013586B" w:rsidRDefault="0013586B">
            <w:pPr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67009E80" w14:textId="77777777" w:rsidR="0013586B" w:rsidRDefault="0013586B">
            <w:pPr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709568AB" w14:textId="77777777" w:rsidR="0013586B" w:rsidRDefault="0013586B">
            <w:pPr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572B46D7" w14:textId="1DCD85DE" w:rsidR="000F6DF2" w:rsidRDefault="00E86485">
            <w:pPr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>Kotizacija:</w:t>
            </w:r>
          </w:p>
          <w:p w14:paraId="324998D2" w14:textId="77777777" w:rsidR="000F6DF2" w:rsidRDefault="000F6DF2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  <w:lang w:val="sr-Latn-CS"/>
              </w:rPr>
            </w:pPr>
          </w:p>
          <w:p w14:paraId="4C788DA6" w14:textId="77777777" w:rsidR="000F6DF2" w:rsidRDefault="00E86485">
            <w:pPr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</w:pP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  <w:lang w:val="sr-Latn-CS"/>
              </w:rPr>
              <w:t>10.000,00 dinara po učesniku (bez PDV-a)</w:t>
            </w:r>
          </w:p>
          <w:p w14:paraId="47DEFF95" w14:textId="77777777" w:rsidR="000F6DF2" w:rsidRDefault="000F6DF2">
            <w:pPr>
              <w:jc w:val="center"/>
              <w:rPr>
                <w:rFonts w:ascii="Calibri" w:hAnsi="Calibri" w:cs="Calibri"/>
                <w:b/>
                <w:color w:val="323E4F"/>
                <w:sz w:val="22"/>
                <w:szCs w:val="22"/>
              </w:rPr>
            </w:pPr>
          </w:p>
        </w:tc>
      </w:tr>
      <w:tr w:rsidR="000F6DF2" w14:paraId="3277E4FC" w14:textId="77777777">
        <w:trPr>
          <w:trHeight w:val="243"/>
          <w:jc w:val="center"/>
        </w:trPr>
        <w:tc>
          <w:tcPr>
            <w:tcW w:w="11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6FC7" w14:textId="77777777" w:rsidR="000F6DF2" w:rsidRDefault="00E86485">
            <w:pPr>
              <w:rPr>
                <w:rFonts w:ascii="Calibri" w:hAnsi="Calibri" w:cs="Arial"/>
                <w:color w:val="1F497D"/>
                <w:w w:val="110"/>
                <w:sz w:val="22"/>
                <w:szCs w:val="22"/>
                <w:lang w:val="sr-Latn-CS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  <w:szCs w:val="22"/>
                <w:lang w:val="sr-Cyrl-CS"/>
              </w:rPr>
              <w:lastRenderedPageBreak/>
              <w:t>Polaznici dobijaju:</w:t>
            </w:r>
            <w:r>
              <w:rPr>
                <w:rFonts w:ascii="Calibri" w:hAnsi="Calibri" w:cs="Calibri"/>
                <w:b/>
                <w:color w:val="1F497D"/>
                <w:sz w:val="22"/>
                <w:szCs w:val="22"/>
                <w:lang w:val="sr-Latn-CS"/>
              </w:rPr>
              <w:t xml:space="preserve"> </w:t>
            </w:r>
            <w:r>
              <w:rPr>
                <w:rFonts w:ascii="Calibri" w:hAnsi="Calibri" w:cs="Calibri"/>
                <w:color w:val="2F5496" w:themeColor="accent1" w:themeShade="BF"/>
                <w:sz w:val="22"/>
                <w:szCs w:val="22"/>
                <w:lang w:val="sr-Latn-CS"/>
              </w:rPr>
              <w:t>osveženje na pauzama, radni materijal, sertifikat PKS o odslušanom seminaru</w:t>
            </w:r>
          </w:p>
        </w:tc>
      </w:tr>
      <w:tr w:rsidR="000F6DF2" w14:paraId="3BC7A83B" w14:textId="77777777">
        <w:trPr>
          <w:trHeight w:val="243"/>
          <w:jc w:val="center"/>
        </w:trPr>
        <w:tc>
          <w:tcPr>
            <w:tcW w:w="11624" w:type="dxa"/>
            <w:gridSpan w:val="4"/>
            <w:tcBorders>
              <w:top w:val="single" w:sz="4" w:space="0" w:color="auto"/>
            </w:tcBorders>
            <w:vAlign w:val="center"/>
          </w:tcPr>
          <w:p w14:paraId="3C985A29" w14:textId="77777777" w:rsidR="000F6DF2" w:rsidRDefault="000F6DF2">
            <w:pPr>
              <w:rPr>
                <w:rFonts w:ascii="Calibri" w:hAnsi="Calibri" w:cs="Calibri"/>
                <w:b/>
                <w:color w:val="1F497D"/>
                <w:sz w:val="20"/>
                <w:szCs w:val="20"/>
                <w:lang w:val="sr-Cyrl-CS"/>
              </w:rPr>
            </w:pPr>
          </w:p>
        </w:tc>
      </w:tr>
      <w:tr w:rsidR="000F6DF2" w14:paraId="10A1CB64" w14:textId="77777777">
        <w:trPr>
          <w:trHeight w:val="127"/>
          <w:jc w:val="center"/>
        </w:trPr>
        <w:tc>
          <w:tcPr>
            <w:tcW w:w="11624" w:type="dxa"/>
            <w:gridSpan w:val="4"/>
            <w:shd w:val="clear" w:color="auto" w:fill="1F497D"/>
          </w:tcPr>
          <w:p w14:paraId="758DAC9B" w14:textId="77777777" w:rsidR="000F6DF2" w:rsidRDefault="00E86485">
            <w:pPr>
              <w:jc w:val="center"/>
              <w:rPr>
                <w:rFonts w:ascii="Calibri" w:hAnsi="Calibri" w:cs="Calibri"/>
                <w:color w:val="FFFFFF"/>
                <w:sz w:val="20"/>
                <w:szCs w:val="20"/>
                <w:lang w:val="sr-Latn-RS"/>
              </w:rPr>
            </w:pPr>
            <w:r>
              <w:rPr>
                <w:rFonts w:ascii="Calibri" w:hAnsi="Calibri" w:cs="Calibri"/>
                <w:color w:val="FFFFFF"/>
                <w:sz w:val="20"/>
                <w:szCs w:val="20"/>
                <w:lang w:val="sr-Latn-RS"/>
              </w:rPr>
              <w:t xml:space="preserve"> Privredna komora Srbije, Beogradska 39, 11 000 Beograd</w:t>
            </w:r>
          </w:p>
          <w:p w14:paraId="5723B9F5" w14:textId="77777777" w:rsidR="000F6DF2" w:rsidRDefault="00E86485">
            <w:pPr>
              <w:jc w:val="center"/>
              <w:rPr>
                <w:rFonts w:ascii="Calibri" w:hAnsi="Calibri" w:cs="Calibri"/>
                <w:color w:val="FFFFFF"/>
                <w:sz w:val="22"/>
                <w:szCs w:val="22"/>
                <w:lang w:val="sr-Latn-RS"/>
              </w:rPr>
            </w:pPr>
            <w:r>
              <w:rPr>
                <w:rFonts w:ascii="Calibri" w:hAnsi="Calibri" w:cs="Calibri"/>
                <w:color w:val="FFFFFF"/>
                <w:sz w:val="20"/>
                <w:szCs w:val="20"/>
                <w:lang w:val="sr-Latn-RS"/>
              </w:rPr>
              <w:t xml:space="preserve"> +381 66 875 10 10 ili 011 41 49 421  I </w:t>
            </w:r>
            <w:r>
              <w:rPr>
                <w:rFonts w:ascii="Calibri" w:hAnsi="Calibri" w:cs="Calibri"/>
                <w:color w:val="FFFFFF"/>
                <w:sz w:val="20"/>
                <w:szCs w:val="20"/>
                <w:lang w:val="sr-Latn-RS"/>
              </w:rPr>
              <w:t> sladjana.obrenovic@pks.rs I edukacija@pks.rs I www.pks.rs</w:t>
            </w:r>
          </w:p>
        </w:tc>
      </w:tr>
    </w:tbl>
    <w:p w14:paraId="2A047792" w14:textId="77777777" w:rsidR="000F6DF2" w:rsidRDefault="000F6DF2"/>
    <w:sectPr w:rsidR="000F6DF2">
      <w:pgSz w:w="11907" w:h="16840"/>
      <w:pgMar w:top="0" w:right="1797" w:bottom="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BDA76A"/>
    <w:multiLevelType w:val="singleLevel"/>
    <w:tmpl w:val="87BDA76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177641EC"/>
    <w:multiLevelType w:val="multilevel"/>
    <w:tmpl w:val="8412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E3118"/>
    <w:multiLevelType w:val="multilevel"/>
    <w:tmpl w:val="4B5A3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91AFC"/>
    <w:multiLevelType w:val="multilevel"/>
    <w:tmpl w:val="24691AFC"/>
    <w:lvl w:ilvl="0">
      <w:numFmt w:val="bullet"/>
      <w:lvlText w:val="-"/>
      <w:lvlJc w:val="left"/>
      <w:pPr>
        <w:ind w:left="1100" w:hanging="360"/>
      </w:pPr>
      <w:rPr>
        <w:rFonts w:ascii="Calibri" w:eastAsia="Times New Roman" w:hAnsi="Calibri" w:cs="Calibri" w:hint="default"/>
      </w:rPr>
    </w:lvl>
    <w:lvl w:ilvl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4" w15:restartNumberingAfterBreak="0">
    <w:nsid w:val="2FFB5AE2"/>
    <w:multiLevelType w:val="multilevel"/>
    <w:tmpl w:val="FC9EC1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65379"/>
    <w:multiLevelType w:val="multilevel"/>
    <w:tmpl w:val="3106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5A32F2"/>
    <w:multiLevelType w:val="multilevel"/>
    <w:tmpl w:val="3366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3A601C"/>
    <w:multiLevelType w:val="multilevel"/>
    <w:tmpl w:val="BCE6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BA6B56"/>
    <w:multiLevelType w:val="multilevel"/>
    <w:tmpl w:val="52BA6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A1273"/>
    <w:multiLevelType w:val="hybridMultilevel"/>
    <w:tmpl w:val="B4F6C780"/>
    <w:lvl w:ilvl="0" w:tplc="08E20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D5411"/>
    <w:multiLevelType w:val="multilevel"/>
    <w:tmpl w:val="9C72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F0E43"/>
    <w:multiLevelType w:val="multilevel"/>
    <w:tmpl w:val="C410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F375E6"/>
    <w:multiLevelType w:val="multilevel"/>
    <w:tmpl w:val="8D965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694D9F"/>
    <w:multiLevelType w:val="multilevel"/>
    <w:tmpl w:val="310A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83212B"/>
    <w:multiLevelType w:val="multilevel"/>
    <w:tmpl w:val="3EC8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AB0C76"/>
    <w:multiLevelType w:val="multilevel"/>
    <w:tmpl w:val="78AB0C7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6E0975"/>
    <w:multiLevelType w:val="hybridMultilevel"/>
    <w:tmpl w:val="DAB6FC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626831">
    <w:abstractNumId w:val="15"/>
  </w:num>
  <w:num w:numId="2" w16cid:durableId="250968230">
    <w:abstractNumId w:val="8"/>
  </w:num>
  <w:num w:numId="3" w16cid:durableId="1337147852">
    <w:abstractNumId w:val="4"/>
  </w:num>
  <w:num w:numId="4" w16cid:durableId="743601846">
    <w:abstractNumId w:val="3"/>
  </w:num>
  <w:num w:numId="5" w16cid:durableId="141239427">
    <w:abstractNumId w:val="0"/>
  </w:num>
  <w:num w:numId="6" w16cid:durableId="13390678">
    <w:abstractNumId w:val="9"/>
  </w:num>
  <w:num w:numId="7" w16cid:durableId="908491920">
    <w:abstractNumId w:val="16"/>
  </w:num>
  <w:num w:numId="8" w16cid:durableId="341587058">
    <w:abstractNumId w:val="12"/>
  </w:num>
  <w:num w:numId="9" w16cid:durableId="1117332644">
    <w:abstractNumId w:val="6"/>
  </w:num>
  <w:num w:numId="10" w16cid:durableId="1079522015">
    <w:abstractNumId w:val="10"/>
  </w:num>
  <w:num w:numId="11" w16cid:durableId="1348554432">
    <w:abstractNumId w:val="7"/>
  </w:num>
  <w:num w:numId="12" w16cid:durableId="1851291735">
    <w:abstractNumId w:val="13"/>
  </w:num>
  <w:num w:numId="13" w16cid:durableId="1297492118">
    <w:abstractNumId w:val="11"/>
  </w:num>
  <w:num w:numId="14" w16cid:durableId="114253126">
    <w:abstractNumId w:val="5"/>
  </w:num>
  <w:num w:numId="15" w16cid:durableId="1256404007">
    <w:abstractNumId w:val="1"/>
  </w:num>
  <w:num w:numId="16" w16cid:durableId="800919603">
    <w:abstractNumId w:val="14"/>
  </w:num>
  <w:num w:numId="17" w16cid:durableId="1161776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FD0"/>
    <w:rsid w:val="000001AA"/>
    <w:rsid w:val="00003024"/>
    <w:rsid w:val="000044FE"/>
    <w:rsid w:val="00011470"/>
    <w:rsid w:val="000117D4"/>
    <w:rsid w:val="000405D6"/>
    <w:rsid w:val="0007062F"/>
    <w:rsid w:val="00074DB6"/>
    <w:rsid w:val="00074F85"/>
    <w:rsid w:val="00097792"/>
    <w:rsid w:val="000A20D8"/>
    <w:rsid w:val="000B4D41"/>
    <w:rsid w:val="000B7939"/>
    <w:rsid w:val="000C4B79"/>
    <w:rsid w:val="000C7BFC"/>
    <w:rsid w:val="000D243B"/>
    <w:rsid w:val="000D6094"/>
    <w:rsid w:val="000D76DD"/>
    <w:rsid w:val="000F1F47"/>
    <w:rsid w:val="000F4ED0"/>
    <w:rsid w:val="000F69BA"/>
    <w:rsid w:val="000F6DF2"/>
    <w:rsid w:val="00100641"/>
    <w:rsid w:val="00100DE9"/>
    <w:rsid w:val="00110701"/>
    <w:rsid w:val="00115D02"/>
    <w:rsid w:val="00121572"/>
    <w:rsid w:val="00123276"/>
    <w:rsid w:val="00134FD4"/>
    <w:rsid w:val="0013586B"/>
    <w:rsid w:val="00146070"/>
    <w:rsid w:val="00162319"/>
    <w:rsid w:val="00182EE8"/>
    <w:rsid w:val="00186B9B"/>
    <w:rsid w:val="0019702A"/>
    <w:rsid w:val="001A647E"/>
    <w:rsid w:val="001D3633"/>
    <w:rsid w:val="001E5F53"/>
    <w:rsid w:val="001F19A9"/>
    <w:rsid w:val="00201537"/>
    <w:rsid w:val="00207ED6"/>
    <w:rsid w:val="00231BE6"/>
    <w:rsid w:val="00233295"/>
    <w:rsid w:val="00244422"/>
    <w:rsid w:val="00267850"/>
    <w:rsid w:val="00271A0D"/>
    <w:rsid w:val="00294B86"/>
    <w:rsid w:val="002D193B"/>
    <w:rsid w:val="002E0F70"/>
    <w:rsid w:val="002E1528"/>
    <w:rsid w:val="002F34F2"/>
    <w:rsid w:val="002F4EC4"/>
    <w:rsid w:val="00306C22"/>
    <w:rsid w:val="00314171"/>
    <w:rsid w:val="00316A82"/>
    <w:rsid w:val="00320CCD"/>
    <w:rsid w:val="00322690"/>
    <w:rsid w:val="003271A7"/>
    <w:rsid w:val="00327E9A"/>
    <w:rsid w:val="003303DE"/>
    <w:rsid w:val="003310D0"/>
    <w:rsid w:val="0033244E"/>
    <w:rsid w:val="00333AB5"/>
    <w:rsid w:val="0033675A"/>
    <w:rsid w:val="00340841"/>
    <w:rsid w:val="00342FE6"/>
    <w:rsid w:val="0035372E"/>
    <w:rsid w:val="0035798F"/>
    <w:rsid w:val="00373745"/>
    <w:rsid w:val="003769E0"/>
    <w:rsid w:val="003861FC"/>
    <w:rsid w:val="0039729D"/>
    <w:rsid w:val="003A6EDA"/>
    <w:rsid w:val="003B226E"/>
    <w:rsid w:val="003B62A6"/>
    <w:rsid w:val="003B71A6"/>
    <w:rsid w:val="003C3303"/>
    <w:rsid w:val="003D3955"/>
    <w:rsid w:val="003D79DA"/>
    <w:rsid w:val="003E2253"/>
    <w:rsid w:val="003E278D"/>
    <w:rsid w:val="003F25EA"/>
    <w:rsid w:val="004105EF"/>
    <w:rsid w:val="00411D3F"/>
    <w:rsid w:val="004410F3"/>
    <w:rsid w:val="00444496"/>
    <w:rsid w:val="00446117"/>
    <w:rsid w:val="004533A8"/>
    <w:rsid w:val="0046089A"/>
    <w:rsid w:val="0046278A"/>
    <w:rsid w:val="00464AD1"/>
    <w:rsid w:val="0047511D"/>
    <w:rsid w:val="0048279A"/>
    <w:rsid w:val="00484235"/>
    <w:rsid w:val="00484A3C"/>
    <w:rsid w:val="00486A51"/>
    <w:rsid w:val="004917BB"/>
    <w:rsid w:val="00497DD5"/>
    <w:rsid w:val="004B7659"/>
    <w:rsid w:val="004E68F4"/>
    <w:rsid w:val="004F3169"/>
    <w:rsid w:val="0050123F"/>
    <w:rsid w:val="00513A80"/>
    <w:rsid w:val="00514366"/>
    <w:rsid w:val="00522096"/>
    <w:rsid w:val="005317F7"/>
    <w:rsid w:val="00534964"/>
    <w:rsid w:val="00535661"/>
    <w:rsid w:val="00546EC4"/>
    <w:rsid w:val="0054704F"/>
    <w:rsid w:val="00547D4C"/>
    <w:rsid w:val="00552CE5"/>
    <w:rsid w:val="005536FD"/>
    <w:rsid w:val="0055591F"/>
    <w:rsid w:val="005570CC"/>
    <w:rsid w:val="00570400"/>
    <w:rsid w:val="00583D01"/>
    <w:rsid w:val="0059243C"/>
    <w:rsid w:val="005964C1"/>
    <w:rsid w:val="005A03CA"/>
    <w:rsid w:val="005A13C7"/>
    <w:rsid w:val="005A23D7"/>
    <w:rsid w:val="005B2CE0"/>
    <w:rsid w:val="005C154D"/>
    <w:rsid w:val="005C767A"/>
    <w:rsid w:val="005D0241"/>
    <w:rsid w:val="005D0A74"/>
    <w:rsid w:val="005D7435"/>
    <w:rsid w:val="005E14FC"/>
    <w:rsid w:val="005E5EA4"/>
    <w:rsid w:val="005E6D8D"/>
    <w:rsid w:val="005F209B"/>
    <w:rsid w:val="005F6E9C"/>
    <w:rsid w:val="00605908"/>
    <w:rsid w:val="006077E1"/>
    <w:rsid w:val="00614515"/>
    <w:rsid w:val="006259AE"/>
    <w:rsid w:val="00626874"/>
    <w:rsid w:val="00627022"/>
    <w:rsid w:val="00627AC7"/>
    <w:rsid w:val="0063410B"/>
    <w:rsid w:val="00637589"/>
    <w:rsid w:val="00643AB1"/>
    <w:rsid w:val="006519A4"/>
    <w:rsid w:val="00655AB6"/>
    <w:rsid w:val="00655BF2"/>
    <w:rsid w:val="00677C35"/>
    <w:rsid w:val="00682A37"/>
    <w:rsid w:val="00687E2C"/>
    <w:rsid w:val="00693788"/>
    <w:rsid w:val="006B1A88"/>
    <w:rsid w:val="006B78E7"/>
    <w:rsid w:val="006C414C"/>
    <w:rsid w:val="006C438F"/>
    <w:rsid w:val="006C4EDE"/>
    <w:rsid w:val="006C59A8"/>
    <w:rsid w:val="006D71BB"/>
    <w:rsid w:val="006E52F4"/>
    <w:rsid w:val="006E56FB"/>
    <w:rsid w:val="006F01AC"/>
    <w:rsid w:val="006F1495"/>
    <w:rsid w:val="006F2D66"/>
    <w:rsid w:val="006F388D"/>
    <w:rsid w:val="00706394"/>
    <w:rsid w:val="00710AB0"/>
    <w:rsid w:val="00710CA4"/>
    <w:rsid w:val="0072673F"/>
    <w:rsid w:val="00727762"/>
    <w:rsid w:val="0073143C"/>
    <w:rsid w:val="007355F5"/>
    <w:rsid w:val="00744F51"/>
    <w:rsid w:val="0075226F"/>
    <w:rsid w:val="00765C6A"/>
    <w:rsid w:val="007741E1"/>
    <w:rsid w:val="007825EB"/>
    <w:rsid w:val="00782C6C"/>
    <w:rsid w:val="00782DCF"/>
    <w:rsid w:val="007834D8"/>
    <w:rsid w:val="00791DC3"/>
    <w:rsid w:val="007B41B5"/>
    <w:rsid w:val="007C0BBC"/>
    <w:rsid w:val="007C4E47"/>
    <w:rsid w:val="007C6D07"/>
    <w:rsid w:val="007F2156"/>
    <w:rsid w:val="007F2813"/>
    <w:rsid w:val="00804BF7"/>
    <w:rsid w:val="0081375D"/>
    <w:rsid w:val="008170CE"/>
    <w:rsid w:val="00820579"/>
    <w:rsid w:val="00824A7E"/>
    <w:rsid w:val="008348B6"/>
    <w:rsid w:val="008426DF"/>
    <w:rsid w:val="0084503F"/>
    <w:rsid w:val="00846279"/>
    <w:rsid w:val="00846502"/>
    <w:rsid w:val="008A6AC5"/>
    <w:rsid w:val="008A76C1"/>
    <w:rsid w:val="008E3E50"/>
    <w:rsid w:val="0091411F"/>
    <w:rsid w:val="00922B14"/>
    <w:rsid w:val="00925454"/>
    <w:rsid w:val="00927B96"/>
    <w:rsid w:val="00935C82"/>
    <w:rsid w:val="00942389"/>
    <w:rsid w:val="00944109"/>
    <w:rsid w:val="00950016"/>
    <w:rsid w:val="00950347"/>
    <w:rsid w:val="00954685"/>
    <w:rsid w:val="009608F1"/>
    <w:rsid w:val="009628C0"/>
    <w:rsid w:val="00964C56"/>
    <w:rsid w:val="00975C7D"/>
    <w:rsid w:val="009845A1"/>
    <w:rsid w:val="009869CE"/>
    <w:rsid w:val="00990B4E"/>
    <w:rsid w:val="0099365F"/>
    <w:rsid w:val="009A7A2F"/>
    <w:rsid w:val="009B387A"/>
    <w:rsid w:val="009B61EA"/>
    <w:rsid w:val="009B7593"/>
    <w:rsid w:val="009C0CE3"/>
    <w:rsid w:val="009C4D75"/>
    <w:rsid w:val="009D1184"/>
    <w:rsid w:val="009D6335"/>
    <w:rsid w:val="009D7308"/>
    <w:rsid w:val="009F618D"/>
    <w:rsid w:val="00A112C4"/>
    <w:rsid w:val="00A13A44"/>
    <w:rsid w:val="00A20BEE"/>
    <w:rsid w:val="00A25FC9"/>
    <w:rsid w:val="00A310CD"/>
    <w:rsid w:val="00A32155"/>
    <w:rsid w:val="00A35FF1"/>
    <w:rsid w:val="00A42390"/>
    <w:rsid w:val="00A45C93"/>
    <w:rsid w:val="00A548E9"/>
    <w:rsid w:val="00A65BF3"/>
    <w:rsid w:val="00A807CC"/>
    <w:rsid w:val="00AB5B37"/>
    <w:rsid w:val="00AC656E"/>
    <w:rsid w:val="00AD5F29"/>
    <w:rsid w:val="00B02B2E"/>
    <w:rsid w:val="00B04A42"/>
    <w:rsid w:val="00B0670D"/>
    <w:rsid w:val="00B2186C"/>
    <w:rsid w:val="00B257D9"/>
    <w:rsid w:val="00B37268"/>
    <w:rsid w:val="00B53552"/>
    <w:rsid w:val="00B6661E"/>
    <w:rsid w:val="00B70393"/>
    <w:rsid w:val="00B709ED"/>
    <w:rsid w:val="00B720BA"/>
    <w:rsid w:val="00B80DC3"/>
    <w:rsid w:val="00B84790"/>
    <w:rsid w:val="00B86144"/>
    <w:rsid w:val="00B92302"/>
    <w:rsid w:val="00B95CBD"/>
    <w:rsid w:val="00BA2D88"/>
    <w:rsid w:val="00BB54F8"/>
    <w:rsid w:val="00BB71DB"/>
    <w:rsid w:val="00BC4D40"/>
    <w:rsid w:val="00C05802"/>
    <w:rsid w:val="00C17638"/>
    <w:rsid w:val="00C34570"/>
    <w:rsid w:val="00C35444"/>
    <w:rsid w:val="00C61834"/>
    <w:rsid w:val="00C70001"/>
    <w:rsid w:val="00C744B8"/>
    <w:rsid w:val="00C80FE7"/>
    <w:rsid w:val="00CA048E"/>
    <w:rsid w:val="00CA3774"/>
    <w:rsid w:val="00CB170A"/>
    <w:rsid w:val="00CC0958"/>
    <w:rsid w:val="00CC7B4B"/>
    <w:rsid w:val="00CD1286"/>
    <w:rsid w:val="00CD349F"/>
    <w:rsid w:val="00CD5889"/>
    <w:rsid w:val="00CF1C13"/>
    <w:rsid w:val="00CF25A2"/>
    <w:rsid w:val="00D038EA"/>
    <w:rsid w:val="00D106BF"/>
    <w:rsid w:val="00D20563"/>
    <w:rsid w:val="00D23283"/>
    <w:rsid w:val="00D31EDA"/>
    <w:rsid w:val="00D51889"/>
    <w:rsid w:val="00D6008F"/>
    <w:rsid w:val="00D602B8"/>
    <w:rsid w:val="00D6238D"/>
    <w:rsid w:val="00D625AF"/>
    <w:rsid w:val="00D64E5B"/>
    <w:rsid w:val="00D706E4"/>
    <w:rsid w:val="00D91E4B"/>
    <w:rsid w:val="00D92114"/>
    <w:rsid w:val="00DA2539"/>
    <w:rsid w:val="00DA6721"/>
    <w:rsid w:val="00DB109B"/>
    <w:rsid w:val="00DB2575"/>
    <w:rsid w:val="00DB4831"/>
    <w:rsid w:val="00DC092A"/>
    <w:rsid w:val="00DD5FE6"/>
    <w:rsid w:val="00E037EB"/>
    <w:rsid w:val="00E1229A"/>
    <w:rsid w:val="00E152E2"/>
    <w:rsid w:val="00E1576B"/>
    <w:rsid w:val="00E23991"/>
    <w:rsid w:val="00E57B0E"/>
    <w:rsid w:val="00E74320"/>
    <w:rsid w:val="00E77D00"/>
    <w:rsid w:val="00E84B53"/>
    <w:rsid w:val="00E84EFC"/>
    <w:rsid w:val="00E84FC4"/>
    <w:rsid w:val="00E86485"/>
    <w:rsid w:val="00E8742D"/>
    <w:rsid w:val="00EA0B22"/>
    <w:rsid w:val="00EA2260"/>
    <w:rsid w:val="00EB09B5"/>
    <w:rsid w:val="00EC5C28"/>
    <w:rsid w:val="00ED1633"/>
    <w:rsid w:val="00ED1A67"/>
    <w:rsid w:val="00ED2E31"/>
    <w:rsid w:val="00EE1B54"/>
    <w:rsid w:val="00EF01A6"/>
    <w:rsid w:val="00EF5995"/>
    <w:rsid w:val="00F05DF8"/>
    <w:rsid w:val="00F117F8"/>
    <w:rsid w:val="00F13218"/>
    <w:rsid w:val="00F13B9F"/>
    <w:rsid w:val="00F146B1"/>
    <w:rsid w:val="00F2784D"/>
    <w:rsid w:val="00F3079D"/>
    <w:rsid w:val="00F3217D"/>
    <w:rsid w:val="00F336CF"/>
    <w:rsid w:val="00F360F8"/>
    <w:rsid w:val="00F422D5"/>
    <w:rsid w:val="00F52FA8"/>
    <w:rsid w:val="00F55295"/>
    <w:rsid w:val="00F63E69"/>
    <w:rsid w:val="00F64867"/>
    <w:rsid w:val="00F83A06"/>
    <w:rsid w:val="00FA2531"/>
    <w:rsid w:val="00FA355C"/>
    <w:rsid w:val="00FB7F77"/>
    <w:rsid w:val="00FC1FD0"/>
    <w:rsid w:val="00FC776D"/>
    <w:rsid w:val="00FD5641"/>
    <w:rsid w:val="00FD759E"/>
    <w:rsid w:val="00FE1D84"/>
    <w:rsid w:val="00FE231D"/>
    <w:rsid w:val="00FF3926"/>
    <w:rsid w:val="00FF7D00"/>
    <w:rsid w:val="0DE77C45"/>
    <w:rsid w:val="436224B1"/>
    <w:rsid w:val="52A145C3"/>
    <w:rsid w:val="6A3E06D6"/>
    <w:rsid w:val="735D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A8DE4E"/>
  <w15:docId w15:val="{B5D9E1E9-352C-449D-AD61-AC90DDC7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A51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C2BC2-7CEC-48EA-9C84-917B64B6B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Kosutic</dc:creator>
  <cp:lastModifiedBy>Sladjana Obrenovic</cp:lastModifiedBy>
  <cp:revision>58</cp:revision>
  <cp:lastPrinted>2023-09-06T10:12:00Z</cp:lastPrinted>
  <dcterms:created xsi:type="dcterms:W3CDTF">2025-07-25T06:41:00Z</dcterms:created>
  <dcterms:modified xsi:type="dcterms:W3CDTF">2026-08-28T11:19:00Z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9A998FD8096B40BBB869DCD5D95ABD0C_13</vt:lpwstr>
  </property>
</Properties>
</file>